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EE" w:rsidRDefault="00497C37">
      <w:r w:rsidRPr="000C1AEE">
        <w:rPr>
          <w:rFonts w:ascii="Marianne ExtraBold" w:hAnsi="Marianne ExtraBold"/>
          <w:noProof/>
          <w:color w:val="FFFFFF" w:themeColor="background1"/>
          <w:sz w:val="36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2417628</wp:posOffset>
            </wp:positionH>
            <wp:positionV relativeFrom="paragraph">
              <wp:posOffset>-30884</wp:posOffset>
            </wp:positionV>
            <wp:extent cx="1491892" cy="841052"/>
            <wp:effectExtent l="0" t="0" r="0" b="0"/>
            <wp:wrapNone/>
            <wp:docPr id="10" name="Image 10" descr="K:\ASTREINTE\15_EVENEMENTS_EN_COURS\CORONAVIRUS 2019-nCoV\3_COMMUNICATION\Vaccination\Outils graph_Signalétique\MSS_CV_Charte_Signalétique\Logos vacc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STREINTE\15_EVENEMENTS_EN_COURS\CORONAVIRUS 2019-nCoV\3_COMMUNICATION\Vaccination\Outils graph_Signalétique\MSS_CV_Charte_Signalétique\Logos vacc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27" cy="84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604" w:rsidRPr="00043D2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-612140</wp:posOffset>
            </wp:positionV>
            <wp:extent cx="7560000" cy="1619081"/>
            <wp:effectExtent l="0" t="0" r="3175" b="635"/>
            <wp:wrapNone/>
            <wp:docPr id="1" name="Image 1" descr="O:\COMMUNICATION\OUTILS GRAPHIQUES\Logo ARS_ARA\2020_Logo ARS ARA+RF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COMMUNICATION\OUTILS GRAPHIQUES\Logo ARS_ARA\2020_Logo ARS ARA+RF\ARS20ETAT_entetelettreB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1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AEE" w:rsidRPr="000C1AEE" w:rsidRDefault="000C1AEE" w:rsidP="000C1AEE"/>
    <w:p w:rsidR="000C1AEE" w:rsidRPr="000C1AEE" w:rsidRDefault="000C1AEE" w:rsidP="000C1AEE"/>
    <w:p w:rsidR="000C1AEE" w:rsidRPr="000C1AEE" w:rsidRDefault="000C1AEE" w:rsidP="000C1AEE"/>
    <w:p w:rsidR="000C1AEE" w:rsidRPr="000C1AEE" w:rsidRDefault="000C1AEE" w:rsidP="000C1AEE"/>
    <w:p w:rsidR="000C1AEE" w:rsidRPr="000C1AEE" w:rsidRDefault="000C1AEE" w:rsidP="000C1AEE"/>
    <w:p w:rsidR="000C1AEE" w:rsidRDefault="000C1AEE" w:rsidP="000C1AEE"/>
    <w:p w:rsidR="00ED5A1B" w:rsidRDefault="00765969" w:rsidP="000C1AEE">
      <w:pPr>
        <w:tabs>
          <w:tab w:val="left" w:pos="296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-4469</wp:posOffset>
                </wp:positionH>
                <wp:positionV relativeFrom="paragraph">
                  <wp:posOffset>117981</wp:posOffset>
                </wp:positionV>
                <wp:extent cx="6947535" cy="1279003"/>
                <wp:effectExtent l="0" t="0" r="24765" b="165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535" cy="127900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2852C3" w:rsidRPr="000B5E6C" w:rsidRDefault="00AF5EB6" w:rsidP="00182422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ind w:left="426"/>
                              <w:rPr>
                                <w:rFonts w:ascii="Marianne Medium" w:hAnsi="Marianne Medium" w:cs="Calibri"/>
                                <w:b/>
                                <w:color w:val="000091" w:themeColor="text2"/>
                                <w:sz w:val="36"/>
                              </w:rPr>
                            </w:pPr>
                            <w:r w:rsidRPr="007F08D0">
                              <w:rPr>
                                <w:rFonts w:ascii="Marianne Medium" w:hAnsi="Marianne Medium"/>
                                <w:b/>
                                <w:color w:val="000091" w:themeColor="text2"/>
                                <w:sz w:val="36"/>
                                <w:shd w:val="clear" w:color="auto" w:fill="FFFFFF" w:themeFill="background1"/>
                              </w:rPr>
                              <w:t xml:space="preserve">PFIZER </w:t>
                            </w:r>
                            <w:r w:rsidR="002852C3" w:rsidRPr="007F08D0">
                              <w:rPr>
                                <w:rFonts w:ascii="Marianne Medium" w:hAnsi="Marianne Medium"/>
                                <w:b/>
                                <w:color w:val="000091" w:themeColor="text2"/>
                                <w:sz w:val="36"/>
                                <w:shd w:val="clear" w:color="auto" w:fill="FFFFFF" w:themeFill="background1"/>
                              </w:rPr>
                              <w:t xml:space="preserve">/ </w:t>
                            </w:r>
                            <w:r w:rsidRPr="007F08D0">
                              <w:rPr>
                                <w:rFonts w:ascii="Marianne Medium" w:hAnsi="Marianne Medium"/>
                                <w:b/>
                                <w:color w:val="000091" w:themeColor="text2"/>
                                <w:sz w:val="36"/>
                                <w:shd w:val="clear" w:color="auto" w:fill="FFFFFF" w:themeFill="background1"/>
                              </w:rPr>
                              <w:t>MODERNA</w:t>
                            </w:r>
                          </w:p>
                          <w:p w:rsidR="00AF5EB6" w:rsidRPr="00607C4B" w:rsidRDefault="00C62E95" w:rsidP="0018242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Marianne Medium" w:hAnsi="Marianne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07C4B">
                              <w:rPr>
                                <w:rFonts w:ascii="Marianne Medium" w:hAnsi="Marianne Medium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2 </w:t>
                            </w:r>
                            <w:r w:rsidR="002852C3" w:rsidRPr="00607C4B">
                              <w:rPr>
                                <w:rFonts w:ascii="Marianne Medium" w:hAnsi="Marianne Medium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vaccins au fonctionnement </w:t>
                            </w:r>
                            <w:r w:rsidRPr="00607C4B">
                              <w:rPr>
                                <w:rFonts w:ascii="Marianne Medium" w:hAnsi="Marianne Medium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comparable </w:t>
                            </w:r>
                            <w:r w:rsidR="00607C4B">
                              <w:rPr>
                                <w:rFonts w:ascii="Marianne Medium" w:hAnsi="Marianne Medium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607C4B">
                              <w:rPr>
                                <w:rFonts w:ascii="Marianne Medium" w:hAnsi="Marianne Medium"/>
                                <w:color w:val="FFFFFF" w:themeColor="background1"/>
                                <w:sz w:val="36"/>
                                <w:szCs w:val="36"/>
                              </w:rPr>
                              <w:t>et à l’efficacité identique</w:t>
                            </w:r>
                            <w:r w:rsidR="00607C4B">
                              <w:rPr>
                                <w:rFonts w:ascii="Marianne Medium" w:hAnsi="Marianne Medium"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.35pt;margin-top:9.3pt;width:547.05pt;height:10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" fillcolor="#000091 [3215]" strokecolor="#000091 [3215]" strokeweight=".5pt">
                <v:textbox>
                  <w:txbxContent>
                    <w:p w:rsidR="002852C3" w:rsidRPr="000B5E6C" w:rsidRDefault="00AF5EB6" w:rsidP="00182422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ind w:left="426"/>
                        <w:rPr>
                          <w:rFonts w:ascii="Marianne Medium" w:hAnsi="Marianne Medium" w:cs="Calibri"/>
                          <w:b/>
                          <w:color w:val="000091" w:themeColor="text2"/>
                          <w:sz w:val="36"/>
                        </w:rPr>
                      </w:pPr>
                      <w:r w:rsidRPr="007F08D0">
                        <w:rPr>
                          <w:rFonts w:ascii="Marianne Medium" w:hAnsi="Marianne Medium"/>
                          <w:b/>
                          <w:color w:val="000091" w:themeColor="text2"/>
                          <w:sz w:val="36"/>
                          <w:shd w:val="clear" w:color="auto" w:fill="FFFFFF" w:themeFill="background1"/>
                        </w:rPr>
                        <w:t xml:space="preserve">PFIZER </w:t>
                      </w:r>
                      <w:r w:rsidR="002852C3" w:rsidRPr="007F08D0">
                        <w:rPr>
                          <w:rFonts w:ascii="Marianne Medium" w:hAnsi="Marianne Medium"/>
                          <w:b/>
                          <w:color w:val="000091" w:themeColor="text2"/>
                          <w:sz w:val="36"/>
                          <w:shd w:val="clear" w:color="auto" w:fill="FFFFFF" w:themeFill="background1"/>
                        </w:rPr>
                        <w:t xml:space="preserve">/ </w:t>
                      </w:r>
                      <w:r w:rsidRPr="007F08D0">
                        <w:rPr>
                          <w:rFonts w:ascii="Marianne Medium" w:hAnsi="Marianne Medium"/>
                          <w:b/>
                          <w:color w:val="000091" w:themeColor="text2"/>
                          <w:sz w:val="36"/>
                          <w:shd w:val="clear" w:color="auto" w:fill="FFFFFF" w:themeFill="background1"/>
                        </w:rPr>
                        <w:t>MODERNA</w:t>
                      </w:r>
                    </w:p>
                    <w:p w:rsidR="00AF5EB6" w:rsidRPr="00607C4B" w:rsidRDefault="00C62E95" w:rsidP="00182422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Marianne Medium" w:hAnsi="Marianne Medium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07C4B">
                        <w:rPr>
                          <w:rFonts w:ascii="Marianne Medium" w:hAnsi="Marianne Medium"/>
                          <w:color w:val="FFFFFF" w:themeColor="background1"/>
                          <w:sz w:val="36"/>
                          <w:szCs w:val="36"/>
                        </w:rPr>
                        <w:t xml:space="preserve">2 </w:t>
                      </w:r>
                      <w:r w:rsidR="002852C3" w:rsidRPr="00607C4B">
                        <w:rPr>
                          <w:rFonts w:ascii="Marianne Medium" w:hAnsi="Marianne Medium"/>
                          <w:color w:val="FFFFFF" w:themeColor="background1"/>
                          <w:sz w:val="36"/>
                          <w:szCs w:val="36"/>
                        </w:rPr>
                        <w:t xml:space="preserve">vaccins au fonctionnement </w:t>
                      </w:r>
                      <w:r w:rsidRPr="00607C4B">
                        <w:rPr>
                          <w:rFonts w:ascii="Marianne Medium" w:hAnsi="Marianne Medium"/>
                          <w:color w:val="FFFFFF" w:themeColor="background1"/>
                          <w:sz w:val="36"/>
                          <w:szCs w:val="36"/>
                        </w:rPr>
                        <w:t xml:space="preserve">comparable </w:t>
                      </w:r>
                      <w:r w:rsidR="00607C4B">
                        <w:rPr>
                          <w:rFonts w:ascii="Marianne Medium" w:hAnsi="Marianne Medium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607C4B">
                        <w:rPr>
                          <w:rFonts w:ascii="Marianne Medium" w:hAnsi="Marianne Medium"/>
                          <w:color w:val="FFFFFF" w:themeColor="background1"/>
                          <w:sz w:val="36"/>
                          <w:szCs w:val="36"/>
                        </w:rPr>
                        <w:t>et à l’efficacité identique</w:t>
                      </w:r>
                      <w:r w:rsidR="00607C4B">
                        <w:rPr>
                          <w:rFonts w:ascii="Marianne Medium" w:hAnsi="Marianne Medium"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C1AEE">
        <w:tab/>
      </w:r>
    </w:p>
    <w:p w:rsidR="008A2039" w:rsidRDefault="008A2039" w:rsidP="000C1AEE">
      <w:pPr>
        <w:tabs>
          <w:tab w:val="left" w:pos="2969"/>
        </w:tabs>
      </w:pPr>
    </w:p>
    <w:p w:rsidR="008A2039" w:rsidRDefault="008A2039" w:rsidP="000C1AEE">
      <w:pPr>
        <w:tabs>
          <w:tab w:val="left" w:pos="2969"/>
        </w:tabs>
      </w:pPr>
    </w:p>
    <w:p w:rsidR="008A2039" w:rsidRDefault="008A2039" w:rsidP="000C1AEE">
      <w:pPr>
        <w:tabs>
          <w:tab w:val="left" w:pos="2969"/>
        </w:tabs>
      </w:pPr>
    </w:p>
    <w:p w:rsidR="008A2039" w:rsidRDefault="008A2039" w:rsidP="000C1AEE">
      <w:pPr>
        <w:tabs>
          <w:tab w:val="left" w:pos="2969"/>
        </w:tabs>
      </w:pPr>
    </w:p>
    <w:p w:rsidR="008A2039" w:rsidRDefault="008A2039" w:rsidP="000C1AEE">
      <w:pPr>
        <w:tabs>
          <w:tab w:val="left" w:pos="2969"/>
        </w:tabs>
      </w:pPr>
    </w:p>
    <w:p w:rsidR="008A2039" w:rsidRDefault="008A2039" w:rsidP="000C1AEE">
      <w:pPr>
        <w:tabs>
          <w:tab w:val="left" w:pos="2969"/>
        </w:tabs>
      </w:pPr>
    </w:p>
    <w:p w:rsidR="008A2039" w:rsidRDefault="008A2039" w:rsidP="000C1AEE">
      <w:pPr>
        <w:tabs>
          <w:tab w:val="left" w:pos="2969"/>
        </w:tabs>
      </w:pPr>
    </w:p>
    <w:p w:rsidR="008A2039" w:rsidRDefault="008A2039" w:rsidP="000C1AEE">
      <w:pPr>
        <w:tabs>
          <w:tab w:val="left" w:pos="2969"/>
        </w:tabs>
      </w:pPr>
    </w:p>
    <w:p w:rsidR="008A2039" w:rsidRPr="00F17247" w:rsidRDefault="008A2039" w:rsidP="009678B4">
      <w:pPr>
        <w:tabs>
          <w:tab w:val="left" w:pos="2969"/>
        </w:tabs>
        <w:spacing w:after="120"/>
        <w:rPr>
          <w:sz w:val="12"/>
        </w:rPr>
      </w:pPr>
    </w:p>
    <w:p w:rsidR="00BF0758" w:rsidRPr="00F17247" w:rsidRDefault="00BF0758" w:rsidP="009678B4">
      <w:pPr>
        <w:autoSpaceDE w:val="0"/>
        <w:autoSpaceDN w:val="0"/>
        <w:adjustRightInd w:val="0"/>
        <w:spacing w:before="120" w:after="120"/>
        <w:ind w:left="567"/>
        <w:rPr>
          <w:rFonts w:ascii="Marianne" w:hAnsi="Marianne" w:cs="Marianne-Bold"/>
          <w:b/>
          <w:bCs/>
          <w:color w:val="169B62"/>
          <w:sz w:val="14"/>
          <w:szCs w:val="20"/>
        </w:rPr>
        <w:sectPr w:rsidR="00BF0758" w:rsidRPr="00F17247" w:rsidSect="007C089E">
          <w:headerReference w:type="default" r:id="rId8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391D99" w:rsidRPr="00453468" w:rsidRDefault="00391D99" w:rsidP="009678B4">
      <w:pPr>
        <w:autoSpaceDE w:val="0"/>
        <w:autoSpaceDN w:val="0"/>
        <w:adjustRightInd w:val="0"/>
        <w:spacing w:after="60"/>
        <w:ind w:left="567"/>
        <w:rPr>
          <w:rFonts w:ascii="Marianne Medium" w:hAnsi="Marianne Medium" w:cs="Marianne-Bold"/>
          <w:b/>
          <w:bCs/>
          <w:color w:val="169B62"/>
          <w:sz w:val="28"/>
          <w:szCs w:val="20"/>
        </w:rPr>
      </w:pP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 xml:space="preserve">Moderna et Pfizer, </w:t>
      </w:r>
      <w:r w:rsidR="00182422"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br/>
      </w: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>des marques de vaccin interchangeables</w:t>
      </w:r>
    </w:p>
    <w:p w:rsidR="00391D99" w:rsidRPr="00182422" w:rsidRDefault="00391D99" w:rsidP="00391D99">
      <w:pPr>
        <w:autoSpaceDE w:val="0"/>
        <w:autoSpaceDN w:val="0"/>
        <w:adjustRightInd w:val="0"/>
        <w:ind w:left="567"/>
        <w:rPr>
          <w:rFonts w:ascii="Marianne" w:hAnsi="Marianne" w:cs="HelveticaNeueLT-Roman"/>
        </w:rPr>
      </w:pPr>
      <w:r w:rsidRPr="00453468">
        <w:rPr>
          <w:rFonts w:ascii="Marianne" w:hAnsi="Marianne" w:cs="HelveticaNeueLT-Roman"/>
          <w:b/>
          <w:color w:val="000091" w:themeColor="text2"/>
        </w:rPr>
        <w:t>Toutes les vaccinations sont effectuées avec un vaccin à ARN messager</w:t>
      </w:r>
      <w:r w:rsidRPr="00453468">
        <w:rPr>
          <w:rFonts w:ascii="Marianne" w:hAnsi="Marianne" w:cs="HelveticaNeueLT-Roman"/>
          <w:color w:val="000091" w:themeColor="text2"/>
        </w:rPr>
        <w:t xml:space="preserve">, </w:t>
      </w:r>
      <w:r w:rsidRPr="00182422">
        <w:rPr>
          <w:rFonts w:ascii="Marianne" w:hAnsi="Marianne" w:cs="HelveticaNeueLT-Roman"/>
        </w:rPr>
        <w:t xml:space="preserve">y compris la deuxième injection et la dose de rappel, quel que soit le vaccin utilisé précédemment. Moderna et Pfizer utilisent cette même technologie de vaccin à ARN messager. Leurs vaccins sont ainsi interchangeables. Selon </w:t>
      </w:r>
      <w:r w:rsidR="009678B4">
        <w:rPr>
          <w:rFonts w:ascii="Marianne" w:hAnsi="Marianne" w:cs="HelveticaNeueLT-Roman"/>
        </w:rPr>
        <w:br/>
      </w:r>
      <w:r w:rsidRPr="00182422">
        <w:rPr>
          <w:rFonts w:ascii="Marianne" w:hAnsi="Marianne" w:cs="HelveticaNeueLT-Roman"/>
        </w:rPr>
        <w:t xml:space="preserve">votre âge, vous pouvez donc recevoir </w:t>
      </w:r>
      <w:r w:rsidR="009678B4">
        <w:rPr>
          <w:rFonts w:ascii="Marianne" w:hAnsi="Marianne" w:cs="HelveticaNeueLT-Roman"/>
        </w:rPr>
        <w:br/>
      </w:r>
      <w:r w:rsidRPr="00182422">
        <w:rPr>
          <w:rFonts w:ascii="Marianne" w:hAnsi="Marianne" w:cs="HelveticaNeueLT-Roman"/>
        </w:rPr>
        <w:t xml:space="preserve">la marque de vaccin Moderna même </w:t>
      </w:r>
      <w:r w:rsidR="009678B4">
        <w:rPr>
          <w:rFonts w:ascii="Marianne" w:hAnsi="Marianne" w:cs="HelveticaNeueLT-Roman"/>
        </w:rPr>
        <w:br/>
      </w:r>
      <w:r w:rsidRPr="00182422">
        <w:rPr>
          <w:rFonts w:ascii="Marianne" w:hAnsi="Marianne" w:cs="HelveticaNeueLT-Roman"/>
        </w:rPr>
        <w:t>si vous avez eu un vaccin Pfizer pour votre première et deuxième injection.</w:t>
      </w:r>
    </w:p>
    <w:p w:rsidR="008F0750" w:rsidRPr="00453468" w:rsidRDefault="008F0750" w:rsidP="009678B4">
      <w:pPr>
        <w:autoSpaceDE w:val="0"/>
        <w:autoSpaceDN w:val="0"/>
        <w:adjustRightInd w:val="0"/>
        <w:spacing w:before="120" w:after="60"/>
        <w:ind w:left="567"/>
        <w:rPr>
          <w:rFonts w:ascii="Marianne Medium" w:hAnsi="Marianne Medium" w:cs="Marianne-Bold"/>
          <w:b/>
          <w:bCs/>
          <w:color w:val="169B62"/>
          <w:sz w:val="28"/>
          <w:szCs w:val="20"/>
        </w:rPr>
      </w:pP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 xml:space="preserve">Moderna et Pfizer, </w:t>
      </w:r>
      <w:r w:rsidR="00B10EB4"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br/>
        <w:t>deux</w:t>
      </w: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 xml:space="preserve"> vaccins aussi efficaces</w:t>
      </w:r>
    </w:p>
    <w:p w:rsidR="008F0750" w:rsidRPr="00182422" w:rsidRDefault="008F0750" w:rsidP="008F0750">
      <w:pPr>
        <w:autoSpaceDE w:val="0"/>
        <w:autoSpaceDN w:val="0"/>
        <w:adjustRightInd w:val="0"/>
        <w:ind w:left="567"/>
        <w:rPr>
          <w:rFonts w:ascii="Marianne" w:hAnsi="Marianne" w:cs="HelveticaNeueLT-Roman"/>
        </w:rPr>
      </w:pPr>
      <w:r w:rsidRPr="00453468">
        <w:rPr>
          <w:rFonts w:ascii="Marianne" w:hAnsi="Marianne" w:cs="HelveticaNeueLT-Roman"/>
          <w:b/>
          <w:color w:val="000091" w:themeColor="text2"/>
        </w:rPr>
        <w:t>Les deux vaccins à ARN messager Moderna et Pfizer ont prouvé leur efficacité</w:t>
      </w:r>
      <w:r w:rsidRPr="00453468">
        <w:rPr>
          <w:rFonts w:ascii="Marianne" w:hAnsi="Marianne" w:cs="HelveticaNeueLT-Roman"/>
          <w:color w:val="000091" w:themeColor="text2"/>
        </w:rPr>
        <w:t xml:space="preserve"> </w:t>
      </w:r>
      <w:r w:rsidRPr="00182422">
        <w:rPr>
          <w:rFonts w:ascii="Marianne" w:hAnsi="Marianne" w:cs="HelveticaNeueLT-Roman"/>
        </w:rPr>
        <w:t xml:space="preserve">pour vous protéger contre </w:t>
      </w:r>
      <w:r w:rsidR="00286143">
        <w:rPr>
          <w:rFonts w:ascii="Marianne" w:hAnsi="Marianne" w:cs="HelveticaNeueLT-Roman"/>
        </w:rPr>
        <w:br/>
      </w:r>
      <w:r w:rsidRPr="00182422">
        <w:rPr>
          <w:rFonts w:ascii="Marianne" w:hAnsi="Marianne" w:cs="HelveticaNeueLT-Roman"/>
        </w:rPr>
        <w:t>la Covid</w:t>
      </w:r>
      <w:r w:rsidRPr="00182422">
        <w:rPr>
          <w:rFonts w:ascii="Marianne" w:hAnsi="Marianne" w:cs="HelveticaNeueLT-Roman"/>
        </w:rPr>
        <w:t xml:space="preserve">-19 et notamment contre les formes graves de </w:t>
      </w:r>
      <w:proofErr w:type="spellStart"/>
      <w:r w:rsidRPr="00182422">
        <w:rPr>
          <w:rFonts w:ascii="Marianne" w:hAnsi="Marianne" w:cs="HelveticaNeueLT-Roman"/>
        </w:rPr>
        <w:t>la</w:t>
      </w:r>
      <w:proofErr w:type="spellEnd"/>
      <w:r w:rsidRPr="00182422">
        <w:rPr>
          <w:rFonts w:ascii="Marianne" w:hAnsi="Marianne" w:cs="HelveticaNeueLT-Roman"/>
        </w:rPr>
        <w:t xml:space="preserve"> maladie</w:t>
      </w:r>
      <w:r w:rsidRPr="00182422">
        <w:rPr>
          <w:rFonts w:ascii="Marianne" w:hAnsi="Marianne" w:cs="HelveticaNeueLT-Roman"/>
        </w:rPr>
        <w:t xml:space="preserve">. Plusieurs études montrent même que le Moderna </w:t>
      </w:r>
      <w:r w:rsidRPr="00182422">
        <w:rPr>
          <w:rFonts w:ascii="Marianne" w:hAnsi="Marianne" w:cs="HelveticaNeueLT-Roman"/>
        </w:rPr>
        <w:t>présente</w:t>
      </w:r>
      <w:r w:rsidRPr="00182422">
        <w:rPr>
          <w:rFonts w:ascii="Marianne" w:hAnsi="Marianne" w:cs="HelveticaNeueLT-Roman"/>
        </w:rPr>
        <w:t xml:space="preserve"> une efficacité vaccinale légèrement supérieure au Pfizer </w:t>
      </w:r>
      <w:r w:rsidR="00286143">
        <w:rPr>
          <w:rFonts w:ascii="Marianne" w:hAnsi="Marianne" w:cs="HelveticaNeueLT-Roman"/>
        </w:rPr>
        <w:br/>
      </w:r>
      <w:r w:rsidRPr="00182422">
        <w:rPr>
          <w:rFonts w:ascii="Marianne" w:hAnsi="Marianne" w:cs="HelveticaNeueLT-Roman"/>
        </w:rPr>
        <w:t>en primovaccination, dont l’efficacité est elle-même déjà très bonne.</w:t>
      </w:r>
    </w:p>
    <w:p w:rsidR="008F0750" w:rsidRPr="00453468" w:rsidRDefault="008F0750" w:rsidP="009678B4">
      <w:pPr>
        <w:autoSpaceDE w:val="0"/>
        <w:autoSpaceDN w:val="0"/>
        <w:adjustRightInd w:val="0"/>
        <w:spacing w:before="120" w:after="60"/>
        <w:ind w:left="567"/>
        <w:rPr>
          <w:rFonts w:ascii="Marianne Medium" w:hAnsi="Marianne Medium" w:cs="Marianne-Bold"/>
          <w:b/>
          <w:bCs/>
          <w:color w:val="169B62"/>
          <w:sz w:val="28"/>
          <w:szCs w:val="20"/>
        </w:rPr>
      </w:pPr>
      <w:bookmarkStart w:id="0" w:name="_GoBack"/>
      <w:bookmarkEnd w:id="0"/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 xml:space="preserve">Moderna et Pfizer, </w:t>
      </w:r>
      <w:r w:rsidR="00B10EB4"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br/>
      </w: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>deux vaccins aussi sûrs</w:t>
      </w:r>
    </w:p>
    <w:p w:rsidR="008F0750" w:rsidRPr="00182422" w:rsidRDefault="008F0750" w:rsidP="008F0750">
      <w:pPr>
        <w:autoSpaceDE w:val="0"/>
        <w:autoSpaceDN w:val="0"/>
        <w:adjustRightInd w:val="0"/>
        <w:ind w:left="567"/>
        <w:rPr>
          <w:rFonts w:ascii="Marianne" w:hAnsi="Marianne" w:cs="HelveticaNeueLT-Roman"/>
        </w:rPr>
      </w:pPr>
      <w:r w:rsidRPr="00453468">
        <w:rPr>
          <w:rFonts w:ascii="Marianne" w:hAnsi="Marianne" w:cs="HelveticaNeueLT-Roman"/>
          <w:b/>
          <w:color w:val="000091" w:themeColor="text2"/>
        </w:rPr>
        <w:t>Les deux marques de vaccin sont aussi sûres l’une que l’autre.</w:t>
      </w:r>
      <w:r w:rsidRPr="00453468">
        <w:rPr>
          <w:rFonts w:ascii="Marianne" w:hAnsi="Marianne" w:cs="HelveticaNeueLT-Roman"/>
          <w:color w:val="000091" w:themeColor="text2"/>
        </w:rPr>
        <w:t xml:space="preserve"> </w:t>
      </w:r>
      <w:r w:rsidRPr="00182422">
        <w:rPr>
          <w:rFonts w:ascii="Marianne" w:hAnsi="Marianne" w:cs="HelveticaNeueLT-Roman"/>
        </w:rPr>
        <w:t>La</w:t>
      </w:r>
      <w:r w:rsidRPr="00182422">
        <w:rPr>
          <w:rFonts w:ascii="Marianne" w:hAnsi="Marianne" w:cs="HelveticaNeueLT-Roman"/>
        </w:rPr>
        <w:t xml:space="preserve"> Haute </w:t>
      </w:r>
      <w:r w:rsidRPr="00182422">
        <w:rPr>
          <w:rFonts w:ascii="Marianne" w:hAnsi="Marianne" w:cs="HelveticaNeueLT-Roman"/>
        </w:rPr>
        <w:t>a</w:t>
      </w:r>
      <w:r w:rsidRPr="00182422">
        <w:rPr>
          <w:rFonts w:ascii="Marianne" w:hAnsi="Marianne" w:cs="HelveticaNeueLT-Roman"/>
        </w:rPr>
        <w:t xml:space="preserve">utorité de </w:t>
      </w:r>
      <w:r w:rsidRPr="00182422">
        <w:rPr>
          <w:rFonts w:ascii="Marianne" w:hAnsi="Marianne" w:cs="HelveticaNeueLT-Roman"/>
        </w:rPr>
        <w:t>s</w:t>
      </w:r>
      <w:r w:rsidRPr="00182422">
        <w:rPr>
          <w:rFonts w:ascii="Marianne" w:hAnsi="Marianne" w:cs="HelveticaNeueLT-Roman"/>
        </w:rPr>
        <w:t>anté a décidé de privilégier le vaccin Pfizer pour les moins de 30 ans</w:t>
      </w:r>
      <w:r w:rsidRPr="00182422">
        <w:rPr>
          <w:rFonts w:ascii="Marianne" w:hAnsi="Marianne" w:cs="HelveticaNeueLT-Roman"/>
        </w:rPr>
        <w:t xml:space="preserve"> du fait de très rares cas </w:t>
      </w:r>
      <w:r w:rsidRPr="00182422">
        <w:rPr>
          <w:rFonts w:ascii="Marianne" w:hAnsi="Marianne" w:cs="HelveticaNeueLT-Roman"/>
        </w:rPr>
        <w:t xml:space="preserve">(environ 1 pour 10.000) d’inflammation du muscle cardiaque </w:t>
      </w:r>
      <w:r w:rsidRPr="00182422">
        <w:rPr>
          <w:rFonts w:ascii="Marianne" w:hAnsi="Marianne" w:cs="HelveticaNeueLT-Roman"/>
        </w:rPr>
        <w:t xml:space="preserve">qui </w:t>
      </w:r>
      <w:r w:rsidRPr="00182422">
        <w:rPr>
          <w:rFonts w:ascii="Marianne" w:hAnsi="Marianne" w:cs="HelveticaNeueLT-Roman"/>
        </w:rPr>
        <w:t xml:space="preserve">ont été observés avant </w:t>
      </w:r>
      <w:r w:rsidRPr="00182422">
        <w:rPr>
          <w:rFonts w:ascii="Marianne" w:hAnsi="Marianne" w:cs="HelveticaNeueLT-Roman"/>
        </w:rPr>
        <w:t xml:space="preserve">cet âge avec le Moderna. Cet effet indésirable, sans gravité et passager, pourrait être dû au dosage en ARN du vaccin Moderna, plus important que celui du vaccin Pfizer. </w:t>
      </w:r>
      <w:r w:rsidR="00E14A85" w:rsidRPr="00182422">
        <w:rPr>
          <w:rFonts w:ascii="Marianne" w:hAnsi="Marianne" w:cs="HelveticaNeueLT-Roman"/>
        </w:rPr>
        <w:t xml:space="preserve">C’est la raison pour laquelle </w:t>
      </w:r>
      <w:r w:rsidRPr="00182422">
        <w:rPr>
          <w:rFonts w:ascii="Marianne" w:hAnsi="Marianne" w:cs="HelveticaNeueLT-Roman"/>
        </w:rPr>
        <w:t>le dosage du Moderna est réduit de</w:t>
      </w:r>
      <w:r w:rsidRPr="00182422">
        <w:rPr>
          <w:rFonts w:ascii="Marianne" w:hAnsi="Marianne" w:cs="HelveticaNeueLT-Roman"/>
          <w:color w:val="000091" w:themeColor="text2"/>
        </w:rPr>
        <w:t xml:space="preserve"> </w:t>
      </w:r>
      <w:r w:rsidRPr="00182422">
        <w:rPr>
          <w:rFonts w:ascii="Marianne" w:hAnsi="Marianne" w:cs="HelveticaNeueLT-Roman"/>
        </w:rPr>
        <w:t>moitié</w:t>
      </w:r>
      <w:r w:rsidR="00E14A85" w:rsidRPr="00182422">
        <w:rPr>
          <w:rFonts w:ascii="Marianne" w:hAnsi="Marianne" w:cs="HelveticaNeueLT-Roman"/>
        </w:rPr>
        <w:t xml:space="preserve"> pour la</w:t>
      </w:r>
      <w:r w:rsidR="00E14A85" w:rsidRPr="00182422">
        <w:rPr>
          <w:rFonts w:ascii="Marianne" w:hAnsi="Marianne" w:cs="HelveticaNeueLT-Roman"/>
        </w:rPr>
        <w:t xml:space="preserve"> dose de r</w:t>
      </w:r>
      <w:r w:rsidR="00E14A85" w:rsidRPr="00182422">
        <w:rPr>
          <w:rFonts w:ascii="Marianne" w:hAnsi="Marianne" w:cs="HelveticaNeueLT-Roman"/>
        </w:rPr>
        <w:t>appel</w:t>
      </w:r>
      <w:r w:rsidRPr="00182422">
        <w:rPr>
          <w:rFonts w:ascii="Marianne" w:hAnsi="Marianne" w:cs="HelveticaNeueLT-Roman"/>
        </w:rPr>
        <w:t>.</w:t>
      </w:r>
    </w:p>
    <w:p w:rsidR="00391D99" w:rsidRPr="00453468" w:rsidRDefault="00391D99" w:rsidP="009678B4">
      <w:pPr>
        <w:autoSpaceDE w:val="0"/>
        <w:autoSpaceDN w:val="0"/>
        <w:adjustRightInd w:val="0"/>
        <w:spacing w:before="120" w:after="60"/>
        <w:ind w:left="567"/>
        <w:rPr>
          <w:rFonts w:ascii="Marianne Medium" w:hAnsi="Marianne Medium" w:cs="Marianne-Bold"/>
          <w:b/>
          <w:bCs/>
          <w:color w:val="169B62"/>
          <w:sz w:val="28"/>
          <w:szCs w:val="20"/>
        </w:rPr>
      </w:pP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>Le</w:t>
      </w:r>
      <w:r w:rsidR="00E14A85"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>s</w:t>
      </w: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 xml:space="preserve"> centre</w:t>
      </w:r>
      <w:r w:rsidR="00E14A85"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>s</w:t>
      </w: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 xml:space="preserve"> de vaccination </w:t>
      </w:r>
      <w:r w:rsidR="00453468"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br/>
      </w: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>ne choisi</w:t>
      </w:r>
      <w:r w:rsidR="00E14A85"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>ssen</w:t>
      </w: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>t pas entre Moderna et Pfizer</w:t>
      </w:r>
    </w:p>
    <w:p w:rsidR="00391D99" w:rsidRPr="00182422" w:rsidRDefault="00391D99" w:rsidP="00391D99">
      <w:pPr>
        <w:autoSpaceDE w:val="0"/>
        <w:autoSpaceDN w:val="0"/>
        <w:adjustRightInd w:val="0"/>
        <w:ind w:left="567"/>
        <w:rPr>
          <w:rFonts w:ascii="Marianne" w:hAnsi="Marianne" w:cs="Georgia-Bold"/>
          <w:bCs/>
        </w:rPr>
      </w:pPr>
      <w:r w:rsidRPr="00607C4B">
        <w:rPr>
          <w:rFonts w:ascii="Marianne" w:hAnsi="Marianne" w:cs="Georgia-Bold"/>
          <w:b/>
          <w:bCs/>
          <w:color w:val="000091" w:themeColor="text2"/>
        </w:rPr>
        <w:t>Les livraisons de vaccins sont faites selon les stocks disponibles au niveau national.</w:t>
      </w:r>
      <w:r w:rsidRPr="00607C4B">
        <w:rPr>
          <w:rFonts w:ascii="Marianne" w:hAnsi="Marianne" w:cs="Georgia-Bold"/>
          <w:bCs/>
          <w:color w:val="000091" w:themeColor="text2"/>
        </w:rPr>
        <w:t xml:space="preserve"> </w:t>
      </w:r>
      <w:r w:rsidRPr="00182422">
        <w:rPr>
          <w:rFonts w:ascii="Marianne" w:hAnsi="Marianne" w:cs="Georgia-Bold"/>
          <w:bCs/>
        </w:rPr>
        <w:t xml:space="preserve">Les centres de vaccination </w:t>
      </w:r>
      <w:r w:rsidR="00607C4B">
        <w:rPr>
          <w:rFonts w:ascii="Marianne" w:hAnsi="Marianne" w:cs="Georgia-Bold"/>
          <w:bCs/>
        </w:rPr>
        <w:br/>
      </w:r>
      <w:r w:rsidRPr="00182422">
        <w:rPr>
          <w:rFonts w:ascii="Marianne" w:hAnsi="Marianne" w:cs="Georgia-Bold"/>
          <w:bCs/>
        </w:rPr>
        <w:t xml:space="preserve">et les professionnels libéraux (pharmaciens, médecins, infirmiers...) </w:t>
      </w:r>
      <w:r w:rsidR="00607C4B">
        <w:rPr>
          <w:rFonts w:ascii="Marianne" w:hAnsi="Marianne" w:cs="Georgia-Bold"/>
          <w:bCs/>
        </w:rPr>
        <w:br/>
      </w:r>
      <w:r w:rsidRPr="00182422">
        <w:rPr>
          <w:rFonts w:ascii="Marianne" w:hAnsi="Marianne" w:cs="Georgia-Bold"/>
          <w:bCs/>
        </w:rPr>
        <w:t xml:space="preserve">ne choisissent donc pas la marque </w:t>
      </w:r>
      <w:r w:rsidR="00607C4B">
        <w:rPr>
          <w:rFonts w:ascii="Marianne" w:hAnsi="Marianne" w:cs="Georgia-Bold"/>
          <w:bCs/>
        </w:rPr>
        <w:br/>
      </w:r>
      <w:r w:rsidRPr="00182422">
        <w:rPr>
          <w:rFonts w:ascii="Marianne" w:hAnsi="Marianne" w:cs="Georgia-Bold"/>
          <w:bCs/>
        </w:rPr>
        <w:t xml:space="preserve">des vaccins qu’il reçoivent. Pour les </w:t>
      </w:r>
      <w:r w:rsidR="00607C4B">
        <w:rPr>
          <w:rFonts w:ascii="Marianne" w:hAnsi="Marianne" w:cs="Georgia-Bold"/>
          <w:bCs/>
        </w:rPr>
        <w:br/>
      </w:r>
      <w:r w:rsidRPr="00182422">
        <w:rPr>
          <w:rFonts w:ascii="Marianne" w:hAnsi="Marianne" w:cs="Georgia-Bold"/>
          <w:bCs/>
        </w:rPr>
        <w:t xml:space="preserve">plus de 30 ans, tous les rendez-vous </w:t>
      </w:r>
      <w:r w:rsidR="00607C4B">
        <w:rPr>
          <w:rFonts w:ascii="Marianne" w:hAnsi="Marianne" w:cs="Georgia-Bold"/>
          <w:bCs/>
        </w:rPr>
        <w:br/>
      </w:r>
      <w:r w:rsidRPr="00182422">
        <w:rPr>
          <w:rFonts w:ascii="Marianne" w:hAnsi="Marianne" w:cs="Georgia-Bold"/>
          <w:bCs/>
        </w:rPr>
        <w:t>pris à partir du 1</w:t>
      </w:r>
      <w:r w:rsidRPr="00182422">
        <w:rPr>
          <w:rFonts w:ascii="Marianne" w:hAnsi="Marianne" w:cs="Georgia-Bold"/>
          <w:bCs/>
          <w:vertAlign w:val="superscript"/>
        </w:rPr>
        <w:t>er</w:t>
      </w:r>
      <w:r w:rsidRPr="00182422">
        <w:rPr>
          <w:rFonts w:ascii="Marianne" w:hAnsi="Marianne" w:cs="Georgia-Bold"/>
          <w:bCs/>
        </w:rPr>
        <w:t xml:space="preserve"> décembre sont faits </w:t>
      </w:r>
      <w:r w:rsidR="00607C4B">
        <w:rPr>
          <w:rFonts w:ascii="Marianne" w:hAnsi="Marianne" w:cs="Georgia-Bold"/>
          <w:bCs/>
        </w:rPr>
        <w:br/>
      </w:r>
      <w:r w:rsidRPr="00182422">
        <w:rPr>
          <w:rFonts w:ascii="Marianne" w:hAnsi="Marianne" w:cs="Georgia-Bold"/>
          <w:bCs/>
        </w:rPr>
        <w:t>avec le vaccin Moderna.</w:t>
      </w:r>
    </w:p>
    <w:p w:rsidR="00BF0758" w:rsidRPr="00453468" w:rsidRDefault="00BF0758" w:rsidP="009678B4">
      <w:pPr>
        <w:autoSpaceDE w:val="0"/>
        <w:autoSpaceDN w:val="0"/>
        <w:adjustRightInd w:val="0"/>
        <w:spacing w:before="120" w:after="60"/>
        <w:ind w:left="567"/>
        <w:rPr>
          <w:rFonts w:ascii="Marianne Medium" w:hAnsi="Marianne Medium" w:cs="Marianne-Bold"/>
          <w:b/>
          <w:bCs/>
          <w:color w:val="169B62"/>
          <w:sz w:val="28"/>
          <w:szCs w:val="20"/>
        </w:rPr>
      </w:pP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 xml:space="preserve">La baisse d’immunité </w:t>
      </w:r>
      <w:r w:rsid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br/>
      </w:r>
      <w:r w:rsidRPr="00453468">
        <w:rPr>
          <w:rFonts w:ascii="Marianne Medium" w:hAnsi="Marianne Medium" w:cs="Marianne-Bold"/>
          <w:b/>
          <w:bCs/>
          <w:color w:val="169B62"/>
          <w:sz w:val="28"/>
          <w:szCs w:val="20"/>
        </w:rPr>
        <w:t>au bout de 5 à 6 mois est identique pour les 2 vaccins</w:t>
      </w:r>
    </w:p>
    <w:p w:rsidR="00D926DF" w:rsidRPr="00182422" w:rsidRDefault="008A2039" w:rsidP="00D926DF">
      <w:pPr>
        <w:autoSpaceDE w:val="0"/>
        <w:autoSpaceDN w:val="0"/>
        <w:adjustRightInd w:val="0"/>
        <w:ind w:left="567"/>
        <w:rPr>
          <w:rFonts w:ascii="Marianne" w:hAnsi="Marianne" w:cs="Marianne-Regular"/>
          <w:color w:val="000000"/>
        </w:rPr>
        <w:sectPr w:rsidR="00D926DF" w:rsidRPr="00182422" w:rsidSect="009678B4">
          <w:type w:val="continuous"/>
          <w:pgSz w:w="11906" w:h="16838"/>
          <w:pgMar w:top="964" w:right="964" w:bottom="709" w:left="964" w:header="709" w:footer="709" w:gutter="0"/>
          <w:cols w:num="2" w:space="624"/>
          <w:docGrid w:linePitch="360"/>
        </w:sectPr>
      </w:pPr>
      <w:r w:rsidRPr="00607C4B">
        <w:rPr>
          <w:rFonts w:ascii="Marianne" w:hAnsi="Marianne" w:cs="Marianne-Regular"/>
          <w:b/>
          <w:color w:val="000091" w:themeColor="text2"/>
        </w:rPr>
        <w:t>L’immunité vaccinale</w:t>
      </w:r>
      <w:r w:rsidR="00027C36" w:rsidRPr="00607C4B">
        <w:rPr>
          <w:rFonts w:ascii="Marianne" w:hAnsi="Marianne" w:cs="Marianne-Regular"/>
          <w:b/>
          <w:color w:val="000091" w:themeColor="text2"/>
        </w:rPr>
        <w:t xml:space="preserve"> contre le Covid-19 </w:t>
      </w:r>
      <w:r w:rsidRPr="00607C4B">
        <w:rPr>
          <w:rFonts w:ascii="Marianne" w:hAnsi="Marianne" w:cs="Marianne-Regular"/>
          <w:b/>
          <w:color w:val="000091" w:themeColor="text2"/>
        </w:rPr>
        <w:t>commence à dimi</w:t>
      </w:r>
      <w:r w:rsidR="00027C36" w:rsidRPr="00607C4B">
        <w:rPr>
          <w:rFonts w:ascii="Marianne" w:hAnsi="Marianne" w:cs="Marianne-Regular"/>
          <w:b/>
          <w:color w:val="000091" w:themeColor="text2"/>
        </w:rPr>
        <w:t xml:space="preserve">nuer au bout de cinq </w:t>
      </w:r>
      <w:r w:rsidR="00DE297E">
        <w:rPr>
          <w:rFonts w:ascii="Marianne" w:hAnsi="Marianne" w:cs="Marianne-Regular"/>
          <w:b/>
          <w:color w:val="000091" w:themeColor="text2"/>
        </w:rPr>
        <w:br/>
      </w:r>
      <w:r w:rsidR="00027C36" w:rsidRPr="00607C4B">
        <w:rPr>
          <w:rFonts w:ascii="Marianne" w:hAnsi="Marianne" w:cs="Marianne-Regular"/>
          <w:b/>
          <w:color w:val="000091" w:themeColor="text2"/>
        </w:rPr>
        <w:t xml:space="preserve">à six mois </w:t>
      </w:r>
      <w:r w:rsidRPr="00607C4B">
        <w:rPr>
          <w:rFonts w:ascii="Marianne" w:hAnsi="Marianne" w:cs="Marianne-Regular"/>
          <w:b/>
          <w:color w:val="000091" w:themeColor="text2"/>
        </w:rPr>
        <w:t>en général, quel que</w:t>
      </w:r>
      <w:r w:rsidR="00027C36" w:rsidRPr="00607C4B">
        <w:rPr>
          <w:rFonts w:ascii="Marianne" w:hAnsi="Marianne" w:cs="Marianne-Regular"/>
          <w:b/>
          <w:color w:val="000091" w:themeColor="text2"/>
        </w:rPr>
        <w:t xml:space="preserve"> soit </w:t>
      </w:r>
      <w:r w:rsidR="00607C4B" w:rsidRPr="00607C4B">
        <w:rPr>
          <w:rFonts w:ascii="Marianne" w:hAnsi="Marianne" w:cs="Marianne-Regular"/>
          <w:b/>
          <w:color w:val="000091" w:themeColor="text2"/>
        </w:rPr>
        <w:br/>
      </w:r>
      <w:r w:rsidR="00027C36" w:rsidRPr="00607C4B">
        <w:rPr>
          <w:rFonts w:ascii="Marianne" w:hAnsi="Marianne" w:cs="Marianne-Regular"/>
          <w:b/>
          <w:color w:val="000091" w:themeColor="text2"/>
        </w:rPr>
        <w:t>le vaccin utilisé</w:t>
      </w:r>
      <w:r w:rsidR="00027C36" w:rsidRPr="00182422">
        <w:rPr>
          <w:rFonts w:ascii="Marianne" w:hAnsi="Marianne" w:cs="Marianne-Regular"/>
          <w:color w:val="000000"/>
        </w:rPr>
        <w:t xml:space="preserve"> lors du </w:t>
      </w:r>
      <w:r w:rsidRPr="00182422">
        <w:rPr>
          <w:rFonts w:ascii="Marianne" w:hAnsi="Marianne" w:cs="Marianne-Regular"/>
          <w:color w:val="000000"/>
        </w:rPr>
        <w:t>premier sché</w:t>
      </w:r>
      <w:r w:rsidR="00027C36" w:rsidRPr="00182422">
        <w:rPr>
          <w:rFonts w:ascii="Marianne" w:hAnsi="Marianne" w:cs="Marianne-Regular"/>
          <w:color w:val="000000"/>
        </w:rPr>
        <w:t xml:space="preserve">ma vaccinal. Pour les personnes </w:t>
      </w:r>
      <w:r w:rsidRPr="00182422">
        <w:rPr>
          <w:rFonts w:ascii="Marianne" w:hAnsi="Marianne" w:cs="Marianne-Regular"/>
          <w:color w:val="000000"/>
        </w:rPr>
        <w:t xml:space="preserve">âgées </w:t>
      </w:r>
      <w:r w:rsidR="00607C4B">
        <w:rPr>
          <w:rFonts w:ascii="Marianne" w:hAnsi="Marianne" w:cs="Marianne-Regular"/>
          <w:color w:val="000000"/>
        </w:rPr>
        <w:br/>
      </w:r>
      <w:r w:rsidRPr="00182422">
        <w:rPr>
          <w:rFonts w:ascii="Marianne" w:hAnsi="Marianne" w:cs="Marianne-Regular"/>
          <w:color w:val="000000"/>
        </w:rPr>
        <w:t>ou immun</w:t>
      </w:r>
      <w:r w:rsidR="00027C36" w:rsidRPr="00182422">
        <w:rPr>
          <w:rFonts w:ascii="Marianne" w:hAnsi="Marianne" w:cs="Marianne-Regular"/>
          <w:color w:val="000000"/>
        </w:rPr>
        <w:t xml:space="preserve">odéprimées, ce délai est réduit </w:t>
      </w:r>
      <w:r w:rsidRPr="00182422">
        <w:rPr>
          <w:rFonts w:ascii="Marianne" w:hAnsi="Marianne" w:cs="Marianne-Regular"/>
          <w:color w:val="000000"/>
        </w:rPr>
        <w:t xml:space="preserve">à trois mois. C’est cette baisse </w:t>
      </w:r>
      <w:r w:rsidR="00607C4B">
        <w:rPr>
          <w:rFonts w:ascii="Marianne" w:hAnsi="Marianne" w:cs="Marianne-Regular"/>
          <w:color w:val="000000"/>
        </w:rPr>
        <w:br/>
      </w:r>
      <w:r w:rsidRPr="00182422">
        <w:rPr>
          <w:rFonts w:ascii="Marianne" w:hAnsi="Marianne" w:cs="Marianne-Regular"/>
          <w:color w:val="000000"/>
        </w:rPr>
        <w:t xml:space="preserve">de l’immunité </w:t>
      </w:r>
      <w:r w:rsidR="00027C36" w:rsidRPr="00182422">
        <w:rPr>
          <w:rFonts w:ascii="Marianne" w:hAnsi="Marianne" w:cs="Marianne-Regular"/>
          <w:color w:val="000000"/>
        </w:rPr>
        <w:t xml:space="preserve">qui </w:t>
      </w:r>
      <w:r w:rsidRPr="00182422">
        <w:rPr>
          <w:rFonts w:ascii="Marianne" w:hAnsi="Marianne" w:cs="Marianne-Regular"/>
          <w:color w:val="000000"/>
        </w:rPr>
        <w:t>explique la nécessi</w:t>
      </w:r>
      <w:r w:rsidR="00027C36" w:rsidRPr="00182422">
        <w:rPr>
          <w:rFonts w:ascii="Marianne" w:hAnsi="Marianne" w:cs="Marianne-Regular"/>
          <w:color w:val="000000"/>
        </w:rPr>
        <w:t>té de faire une dose de rappel</w:t>
      </w:r>
      <w:r w:rsidR="00BF0758" w:rsidRPr="00182422">
        <w:rPr>
          <w:rFonts w:ascii="Marianne" w:hAnsi="Marianne" w:cs="Marianne-Regular"/>
          <w:color w:val="000000"/>
        </w:rPr>
        <w:t xml:space="preserve"> qui permet de booster le système immunitaire </w:t>
      </w:r>
      <w:r w:rsidR="00607C4B">
        <w:rPr>
          <w:rFonts w:ascii="Marianne" w:hAnsi="Marianne" w:cs="Marianne-Regular"/>
          <w:color w:val="000000"/>
        </w:rPr>
        <w:br/>
      </w:r>
      <w:r w:rsidR="00BF0758" w:rsidRPr="00182422">
        <w:rPr>
          <w:rFonts w:ascii="Marianne" w:hAnsi="Marianne" w:cs="Marianne-Regular"/>
          <w:color w:val="000000"/>
        </w:rPr>
        <w:t xml:space="preserve">et de conserver un protection </w:t>
      </w:r>
      <w:r w:rsidR="009678B4">
        <w:rPr>
          <w:rFonts w:ascii="Marianne" w:hAnsi="Marianne" w:cs="Marianne-Regular"/>
          <w:color w:val="000000"/>
        </w:rPr>
        <w:t xml:space="preserve">forte </w:t>
      </w:r>
      <w:r w:rsidR="00607C4B">
        <w:rPr>
          <w:rFonts w:ascii="Marianne" w:hAnsi="Marianne" w:cs="Marianne-Regular"/>
          <w:color w:val="000000"/>
        </w:rPr>
        <w:br/>
      </w:r>
      <w:r w:rsidR="009678B4">
        <w:rPr>
          <w:rFonts w:ascii="Marianne" w:hAnsi="Marianne" w:cs="Marianne-Regular"/>
          <w:color w:val="000000"/>
        </w:rPr>
        <w:t>et durable contre le virus</w:t>
      </w:r>
      <w:r w:rsidR="00D926DF">
        <w:rPr>
          <w:rFonts w:ascii="Marianne" w:hAnsi="Marianne" w:cs="Marianne-Regular"/>
          <w:color w:val="000000"/>
        </w:rPr>
        <w:t>.</w:t>
      </w:r>
    </w:p>
    <w:p w:rsidR="008A2039" w:rsidRPr="00027C36" w:rsidRDefault="00D926DF" w:rsidP="009678B4">
      <w:pPr>
        <w:autoSpaceDE w:val="0"/>
        <w:autoSpaceDN w:val="0"/>
        <w:adjustRightInd w:val="0"/>
        <w:rPr>
          <w:rFonts w:ascii="Marianne" w:hAnsi="Marianne" w:cs="Marianne-Regular"/>
          <w:color w:val="000000"/>
          <w:sz w:val="20"/>
          <w:szCs w:val="20"/>
        </w:rPr>
      </w:pPr>
      <w:r>
        <w:rPr>
          <w:rFonts w:ascii="Marianne" w:hAnsi="Marianne" w:cs="Marianne-Regular"/>
          <w:noProof/>
          <w:color w:val="000000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3628968</wp:posOffset>
                </wp:positionH>
                <wp:positionV relativeFrom="paragraph">
                  <wp:posOffset>276916</wp:posOffset>
                </wp:positionV>
                <wp:extent cx="2899459" cy="185195"/>
                <wp:effectExtent l="0" t="0" r="0" b="571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59" cy="18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26DF" w:rsidRPr="00D926DF" w:rsidRDefault="00D926DF" w:rsidP="00D926DF">
                            <w:pPr>
                              <w:jc w:val="right"/>
                              <w:rPr>
                                <w:rFonts w:ascii="Marianne" w:hAnsi="Marianne"/>
                                <w:sz w:val="12"/>
                              </w:rPr>
                            </w:pPr>
                            <w:r w:rsidRPr="00D926DF">
                              <w:rPr>
                                <w:rFonts w:ascii="Marianne" w:hAnsi="Marianne"/>
                                <w:sz w:val="12"/>
                              </w:rPr>
                              <w:t xml:space="preserve">Agence régionale de santé Auvergne-Rhône-Alpes – </w:t>
                            </w:r>
                            <w:proofErr w:type="spellStart"/>
                            <w:r w:rsidRPr="00D926DF">
                              <w:rPr>
                                <w:rFonts w:ascii="Marianne" w:hAnsi="Marianne"/>
                                <w:sz w:val="12"/>
                              </w:rPr>
                              <w:t>Dec</w:t>
                            </w:r>
                            <w:proofErr w:type="spellEnd"/>
                            <w:r w:rsidRPr="00D926DF">
                              <w:rPr>
                                <w:rFonts w:ascii="Marianne" w:hAnsi="Marianne"/>
                                <w:sz w:val="12"/>
                              </w:rPr>
                              <w:t>.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285.75pt;margin-top:21.8pt;width:228.3pt;height:1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" filled="f" stroked="f" strokeweight=".5pt">
                <v:textbox>
                  <w:txbxContent>
                    <w:p w:rsidR="00D926DF" w:rsidRPr="00D926DF" w:rsidRDefault="00D926DF" w:rsidP="00D926DF">
                      <w:pPr>
                        <w:jc w:val="right"/>
                        <w:rPr>
                          <w:rFonts w:ascii="Marianne" w:hAnsi="Marianne"/>
                          <w:sz w:val="12"/>
                        </w:rPr>
                      </w:pPr>
                      <w:r w:rsidRPr="00D926DF">
                        <w:rPr>
                          <w:rFonts w:ascii="Marianne" w:hAnsi="Marianne"/>
                          <w:sz w:val="12"/>
                        </w:rPr>
                        <w:t xml:space="preserve">Agence régionale de santé Auvergne-Rhône-Alpes – </w:t>
                      </w:r>
                      <w:proofErr w:type="spellStart"/>
                      <w:r w:rsidRPr="00D926DF">
                        <w:rPr>
                          <w:rFonts w:ascii="Marianne" w:hAnsi="Marianne"/>
                          <w:sz w:val="12"/>
                        </w:rPr>
                        <w:t>Dec</w:t>
                      </w:r>
                      <w:proofErr w:type="spellEnd"/>
                      <w:r w:rsidRPr="00D926DF">
                        <w:rPr>
                          <w:rFonts w:ascii="Marianne" w:hAnsi="Marianne"/>
                          <w:sz w:val="12"/>
                        </w:rPr>
                        <w:t>.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2039" w:rsidRPr="00027C36" w:rsidSect="009678B4">
      <w:type w:val="continuous"/>
      <w:pgSz w:w="11906" w:h="16838"/>
      <w:pgMar w:top="964" w:right="964" w:bottom="851" w:left="96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47" w:rsidRDefault="00F17247" w:rsidP="00F17247">
      <w:r>
        <w:separator/>
      </w:r>
    </w:p>
  </w:endnote>
  <w:endnote w:type="continuationSeparator" w:id="0">
    <w:p w:rsidR="00F17247" w:rsidRDefault="00F17247" w:rsidP="00F1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-Bold"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ianne-Regular"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47" w:rsidRDefault="00F17247" w:rsidP="00F17247">
      <w:r>
        <w:separator/>
      </w:r>
    </w:p>
  </w:footnote>
  <w:footnote w:type="continuationSeparator" w:id="0">
    <w:p w:rsidR="00F17247" w:rsidRDefault="00F17247" w:rsidP="00F1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47" w:rsidRDefault="00F1724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DC580" wp14:editId="394E7261">
              <wp:simplePos x="0" y="0"/>
              <wp:positionH relativeFrom="column">
                <wp:posOffset>1318</wp:posOffset>
              </wp:positionH>
              <wp:positionV relativeFrom="paragraph">
                <wp:posOffset>2698099</wp:posOffset>
              </wp:positionV>
              <wp:extent cx="6947535" cy="6910086"/>
              <wp:effectExtent l="0" t="0" r="24765" b="2413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7535" cy="6910086"/>
                      </a:xfrm>
                      <a:prstGeom prst="rect">
                        <a:avLst/>
                      </a:prstGeom>
                      <a:solidFill>
                        <a:srgbClr val="DFE1ED"/>
                      </a:solidFill>
                      <a:ln>
                        <a:solidFill>
                          <a:srgbClr val="EBEB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558296" id="Rectangle 11" o:spid="_x0000_s1026" style="position:absolute;margin-left:.1pt;margin-top:212.45pt;width:547.05pt;height:54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" fillcolor="#dfe1ed" strokecolor="#ebebf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6"/>
    <w:rsid w:val="0000147C"/>
    <w:rsid w:val="00027C36"/>
    <w:rsid w:val="00043D26"/>
    <w:rsid w:val="00097F61"/>
    <w:rsid w:val="000B5E6C"/>
    <w:rsid w:val="000C1AEE"/>
    <w:rsid w:val="000C2569"/>
    <w:rsid w:val="00114640"/>
    <w:rsid w:val="00114D9B"/>
    <w:rsid w:val="00182422"/>
    <w:rsid w:val="001A1BD7"/>
    <w:rsid w:val="00277F17"/>
    <w:rsid w:val="002852C3"/>
    <w:rsid w:val="00286143"/>
    <w:rsid w:val="003827DA"/>
    <w:rsid w:val="00391D99"/>
    <w:rsid w:val="003E7421"/>
    <w:rsid w:val="004244DF"/>
    <w:rsid w:val="00453468"/>
    <w:rsid w:val="00497C37"/>
    <w:rsid w:val="00607C4B"/>
    <w:rsid w:val="00765969"/>
    <w:rsid w:val="007B6BAD"/>
    <w:rsid w:val="007C089E"/>
    <w:rsid w:val="007F08D0"/>
    <w:rsid w:val="008A2039"/>
    <w:rsid w:val="008E42A9"/>
    <w:rsid w:val="008F0750"/>
    <w:rsid w:val="00907E8E"/>
    <w:rsid w:val="009678B4"/>
    <w:rsid w:val="009C5935"/>
    <w:rsid w:val="00AF5EB6"/>
    <w:rsid w:val="00B10EB4"/>
    <w:rsid w:val="00BF0758"/>
    <w:rsid w:val="00BF4981"/>
    <w:rsid w:val="00C00B24"/>
    <w:rsid w:val="00C42604"/>
    <w:rsid w:val="00C62E95"/>
    <w:rsid w:val="00CE7F74"/>
    <w:rsid w:val="00D432B5"/>
    <w:rsid w:val="00D926DF"/>
    <w:rsid w:val="00DB4727"/>
    <w:rsid w:val="00DE297E"/>
    <w:rsid w:val="00E14A85"/>
    <w:rsid w:val="00E76C66"/>
    <w:rsid w:val="00ED5A1B"/>
    <w:rsid w:val="00F17247"/>
    <w:rsid w:val="00F96725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57EC52"/>
  <w15:chartTrackingRefBased/>
  <w15:docId w15:val="{D98331D1-1DCE-433F-A076-6B59C2F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72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7247"/>
  </w:style>
  <w:style w:type="paragraph" w:styleId="Pieddepage">
    <w:name w:val="footer"/>
    <w:basedOn w:val="Normal"/>
    <w:link w:val="PieddepageCar"/>
    <w:uiPriority w:val="99"/>
    <w:unhideWhenUsed/>
    <w:rsid w:val="00F172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HAAS, Cécilia</cp:lastModifiedBy>
  <cp:revision>2</cp:revision>
  <dcterms:created xsi:type="dcterms:W3CDTF">2021-12-10T16:04:00Z</dcterms:created>
  <dcterms:modified xsi:type="dcterms:W3CDTF">2021-12-10T17:34:00Z</dcterms:modified>
</cp:coreProperties>
</file>